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3CE" w:rsidRPr="009C53CE" w:rsidRDefault="009C53CE" w:rsidP="009C53CE">
      <w:pPr>
        <w:pStyle w:val="Paragraphedeliste"/>
        <w:ind w:left="0"/>
        <w:jc w:val="center"/>
        <w:rPr>
          <w:rFonts w:ascii="Verdana" w:hAnsi="Verdana" w:cs="Arial"/>
          <w:b/>
        </w:rPr>
      </w:pPr>
      <w:bookmarkStart w:id="0" w:name="_Hlk2245472"/>
      <w:r w:rsidRPr="009C53CE">
        <w:rPr>
          <w:rFonts w:ascii="Verdana" w:hAnsi="Verdana" w:cs="Arial"/>
          <w:b/>
        </w:rPr>
        <w:t xml:space="preserve">SYNTHÈSE </w:t>
      </w:r>
      <w:bookmarkStart w:id="1" w:name="_Hlk2159671"/>
      <w:r w:rsidRPr="009C53CE">
        <w:rPr>
          <w:rFonts w:ascii="Verdana" w:hAnsi="Verdana" w:cs="Arial"/>
          <w:b/>
        </w:rPr>
        <w:t>SUR LES ACTIVITÉS SOCIALES</w:t>
      </w:r>
      <w:r w:rsidRPr="009C53CE">
        <w:rPr>
          <w:rFonts w:ascii="Verdana" w:hAnsi="Verdana" w:cs="Arial"/>
          <w:b/>
          <w:i/>
        </w:rPr>
        <w:t xml:space="preserve"> </w:t>
      </w:r>
      <w:bookmarkEnd w:id="1"/>
      <w:r w:rsidRPr="009C53CE">
        <w:rPr>
          <w:rFonts w:ascii="Verdana" w:hAnsi="Verdana" w:cs="Arial"/>
          <w:b/>
        </w:rPr>
        <w:t xml:space="preserve">ET </w:t>
      </w:r>
      <w:r w:rsidRPr="009C53CE">
        <w:rPr>
          <w:rFonts w:ascii="Verdana" w:hAnsi="Verdana" w:cs="Arial"/>
          <w:b/>
        </w:rPr>
        <w:t>P</w:t>
      </w:r>
      <w:r w:rsidRPr="009C53CE">
        <w:rPr>
          <w:rFonts w:ascii="Verdana" w:hAnsi="Verdana" w:cs="Arial"/>
          <w:b/>
        </w:rPr>
        <w:t>ROFESSIONNELLES</w:t>
      </w:r>
    </w:p>
    <w:p w:rsidR="0036637C" w:rsidRPr="00344938" w:rsidRDefault="0036637C" w:rsidP="00F01D79">
      <w:pPr>
        <w:pStyle w:val="Paragraphedeliste"/>
        <w:spacing w:after="0" w:line="240" w:lineRule="auto"/>
        <w:ind w:left="0"/>
        <w:jc w:val="center"/>
        <w:rPr>
          <w:rFonts w:ascii="Verdana" w:hAnsi="Verdana" w:cs="Arial"/>
          <w:b/>
        </w:rPr>
      </w:pPr>
      <w:r w:rsidRPr="00344938">
        <w:rPr>
          <w:rFonts w:ascii="Verdana" w:hAnsi="Verdana" w:cs="Arial"/>
          <w:b/>
        </w:rPr>
        <w:t>Ce que nous révèle la Plateforme de revendications</w:t>
      </w:r>
    </w:p>
    <w:p w:rsidR="0036637C" w:rsidRPr="00344938" w:rsidRDefault="0036637C" w:rsidP="00F01D79">
      <w:pPr>
        <w:pStyle w:val="Paragraphedeliste"/>
        <w:spacing w:line="240" w:lineRule="auto"/>
        <w:ind w:left="0"/>
        <w:jc w:val="center"/>
        <w:rPr>
          <w:rFonts w:ascii="Verdana" w:hAnsi="Verdana" w:cs="Arial"/>
          <w:u w:val="single" w:color="55C755"/>
        </w:rPr>
      </w:pPr>
      <w:r w:rsidRPr="00344938">
        <w:rPr>
          <w:rFonts w:ascii="Verdana" w:hAnsi="Verdana" w:cs="Arial"/>
        </w:rPr>
        <w:t>« Un besoin non comblé est un droit bafoué ! »</w:t>
      </w:r>
    </w:p>
    <w:p w:rsidR="0036637C" w:rsidRPr="00344938" w:rsidRDefault="0036637C" w:rsidP="00F01D79">
      <w:pPr>
        <w:spacing w:line="240" w:lineRule="auto"/>
        <w:rPr>
          <w:rFonts w:ascii="Verdana" w:hAnsi="Verdana"/>
          <w:b/>
        </w:rPr>
      </w:pPr>
      <w:r w:rsidRPr="00344938">
        <w:rPr>
          <w:rFonts w:ascii="Verdana" w:hAnsi="Verdana"/>
          <w:b/>
        </w:rPr>
        <w:t xml:space="preserve">CE QU’ON NOUS A DIT </w:t>
      </w:r>
    </w:p>
    <w:p w:rsidR="0036637C" w:rsidRPr="00344938" w:rsidRDefault="00344938" w:rsidP="00F01D79">
      <w:pPr>
        <w:tabs>
          <w:tab w:val="right" w:pos="9923"/>
        </w:tabs>
        <w:spacing w:after="0" w:line="240" w:lineRule="auto"/>
        <w:rPr>
          <w:rFonts w:ascii="Verdana" w:hAnsi="Verdana" w:cs="Arial"/>
          <w:iCs/>
        </w:rPr>
      </w:pPr>
      <w:r>
        <w:rPr>
          <w:rFonts w:ascii="Verdana" w:hAnsi="Verdana" w:cs="Arial"/>
          <w:iCs/>
        </w:rPr>
        <w:t>« </w:t>
      </w:r>
      <w:r w:rsidR="0036637C" w:rsidRPr="00344938">
        <w:rPr>
          <w:rFonts w:ascii="Verdana" w:hAnsi="Verdana" w:cs="Arial"/>
          <w:iCs/>
        </w:rPr>
        <w:t>À la fin de l’année scolaire des 21 ans de ma fille, il n’y avait aucun service offert ».</w:t>
      </w:r>
    </w:p>
    <w:p w:rsidR="0036637C" w:rsidRPr="00344938" w:rsidRDefault="0036637C" w:rsidP="00F01D79">
      <w:pPr>
        <w:pStyle w:val="En-tte"/>
        <w:rPr>
          <w:rFonts w:ascii="Verdana" w:hAnsi="Verdana"/>
        </w:rPr>
      </w:pPr>
      <w:r w:rsidRPr="00344938">
        <w:rPr>
          <w:rFonts w:ascii="Verdana" w:hAnsi="Verdana" w:cs="Arial"/>
          <w:iCs/>
        </w:rPr>
        <w:t xml:space="preserve">« Aucun service à temps plein n’est offert pour répondre aux besoins après l’école ». </w:t>
      </w:r>
    </w:p>
    <w:p w:rsidR="0036637C" w:rsidRPr="00344938" w:rsidRDefault="00344938" w:rsidP="00F01D79">
      <w:pPr>
        <w:tabs>
          <w:tab w:val="right" w:pos="9923"/>
        </w:tabs>
        <w:spacing w:after="0" w:line="240" w:lineRule="auto"/>
        <w:rPr>
          <w:rFonts w:ascii="Verdana" w:hAnsi="Verdana" w:cs="Arial"/>
        </w:rPr>
      </w:pPr>
      <w:r>
        <w:rPr>
          <w:rFonts w:ascii="Verdana" w:hAnsi="Verdana" w:cs="Arial"/>
        </w:rPr>
        <w:t>« </w:t>
      </w:r>
      <w:r w:rsidR="0036637C" w:rsidRPr="00344938">
        <w:rPr>
          <w:rFonts w:ascii="Verdana" w:hAnsi="Verdana" w:cs="Arial"/>
        </w:rPr>
        <w:t>J’ai travaillé à temps plein puis après la sclérose en plaques, à temps partiel. Depuis 4 ans, je ne travaille plus, car on m’a signifié qu’on n’avait plus besoin de moi ».</w:t>
      </w:r>
    </w:p>
    <w:p w:rsidR="0036637C" w:rsidRPr="00344938" w:rsidRDefault="0036637C" w:rsidP="00F01D79">
      <w:pPr>
        <w:pStyle w:val="En-tte"/>
        <w:rPr>
          <w:rFonts w:ascii="Verdana" w:hAnsi="Verdana"/>
        </w:rPr>
      </w:pPr>
      <w:r w:rsidRPr="00344938">
        <w:rPr>
          <w:rFonts w:ascii="Verdana" w:hAnsi="Verdana" w:cs="Arial"/>
        </w:rPr>
        <w:t>« Je n’ai pas de travail rémunéré depuis 2003, seulement di bénévolat ».</w:t>
      </w:r>
    </w:p>
    <w:p w:rsidR="00F01D79" w:rsidRPr="00344938" w:rsidRDefault="0036637C" w:rsidP="00F01D79">
      <w:pPr>
        <w:tabs>
          <w:tab w:val="right" w:pos="9923"/>
        </w:tabs>
        <w:spacing w:after="0" w:line="240" w:lineRule="auto"/>
        <w:rPr>
          <w:rFonts w:ascii="Verdana" w:hAnsi="Verdana" w:cs="Arial"/>
          <w:iCs/>
        </w:rPr>
      </w:pPr>
      <w:r w:rsidRPr="00344938">
        <w:rPr>
          <w:rFonts w:ascii="Verdana" w:hAnsi="Verdana" w:cs="Arial"/>
          <w:iCs/>
        </w:rPr>
        <w:t>« Peu d’activités intéressantes avec supervision adéquate »</w:t>
      </w:r>
    </w:p>
    <w:p w:rsidR="0036637C" w:rsidRPr="00344938" w:rsidRDefault="0036637C" w:rsidP="00F01D79">
      <w:pPr>
        <w:tabs>
          <w:tab w:val="right" w:pos="9923"/>
        </w:tabs>
        <w:spacing w:after="0" w:line="240" w:lineRule="auto"/>
        <w:rPr>
          <w:rFonts w:ascii="Verdana" w:hAnsi="Verdana" w:cs="Arial"/>
          <w:iCs/>
        </w:rPr>
      </w:pPr>
      <w:r w:rsidRPr="00344938">
        <w:rPr>
          <w:rFonts w:ascii="Verdana" w:hAnsi="Verdana" w:cs="Arial"/>
          <w:iCs/>
        </w:rPr>
        <w:t>« J’aurais besoin d’un accompagnateur lors de sorties à l’extérieur ou lors d’activités spéciales ».</w:t>
      </w:r>
    </w:p>
    <w:p w:rsidR="0036637C" w:rsidRPr="00344938" w:rsidRDefault="0036637C" w:rsidP="00F01D79">
      <w:pPr>
        <w:tabs>
          <w:tab w:val="right" w:pos="9923"/>
        </w:tabs>
        <w:spacing w:line="240" w:lineRule="auto"/>
        <w:rPr>
          <w:rFonts w:ascii="Verdana" w:hAnsi="Verdana" w:cs="Arial"/>
          <w:iCs/>
        </w:rPr>
      </w:pPr>
      <w:r w:rsidRPr="00344938">
        <w:rPr>
          <w:rFonts w:ascii="Verdana" w:hAnsi="Verdana" w:cs="Arial"/>
          <w:iCs/>
        </w:rPr>
        <w:t xml:space="preserve">« Mon enfant participe uniquement aux activités de loisirs adaptés parce que </w:t>
      </w:r>
      <w:bookmarkStart w:id="2" w:name="_GoBack"/>
      <w:bookmarkEnd w:id="2"/>
      <w:r w:rsidRPr="00344938">
        <w:rPr>
          <w:rFonts w:ascii="Verdana" w:hAnsi="Verdana" w:cs="Arial"/>
          <w:iCs/>
        </w:rPr>
        <w:t>les autres milieux n’ont pas les capacités de l’intégrer ».</w:t>
      </w:r>
    </w:p>
    <w:p w:rsidR="0036637C" w:rsidRPr="00344938" w:rsidRDefault="0036637C" w:rsidP="00F01D79">
      <w:pPr>
        <w:pStyle w:val="Paragraphedeliste"/>
        <w:spacing w:before="240" w:line="240" w:lineRule="auto"/>
        <w:ind w:left="0"/>
        <w:rPr>
          <w:rFonts w:ascii="Verdana" w:hAnsi="Verdana"/>
          <w:b/>
        </w:rPr>
      </w:pPr>
      <w:r w:rsidRPr="00344938">
        <w:rPr>
          <w:rFonts w:ascii="Verdana" w:hAnsi="Verdana" w:cs="Arial"/>
          <w:b/>
        </w:rPr>
        <w:t>CE QUI EST DÉMONTRÉ</w:t>
      </w:r>
      <w:r w:rsidRPr="00344938">
        <w:rPr>
          <w:rFonts w:ascii="Verdana" w:hAnsi="Verdana"/>
          <w:b/>
        </w:rPr>
        <w:t xml:space="preserve"> </w:t>
      </w:r>
      <w:r w:rsidR="009C53CE" w:rsidRPr="00344938">
        <w:rPr>
          <w:rFonts w:ascii="Verdana" w:hAnsi="Verdana"/>
          <w:b/>
        </w:rPr>
        <w:t>AU SONDAGE</w:t>
      </w:r>
    </w:p>
    <w:p w:rsidR="0036637C" w:rsidRPr="00344938" w:rsidRDefault="00E61966" w:rsidP="00F01D79">
      <w:pPr>
        <w:pStyle w:val="Retraitcorpsdetexte"/>
        <w:ind w:left="0"/>
        <w:jc w:val="left"/>
        <w:rPr>
          <w:rFonts w:ascii="Verdana" w:hAnsi="Verdana"/>
          <w:b w:val="0"/>
          <w:color w:val="auto"/>
          <w:sz w:val="22"/>
          <w:szCs w:val="22"/>
        </w:rPr>
      </w:pPr>
      <w:r w:rsidRPr="00344938">
        <w:rPr>
          <w:rFonts w:ascii="Verdana" w:hAnsi="Verdana"/>
          <w:color w:val="auto"/>
          <w:sz w:val="22"/>
          <w:szCs w:val="22"/>
        </w:rPr>
        <w:t>51%</w:t>
      </w:r>
      <w:r w:rsidRPr="00344938">
        <w:rPr>
          <w:rFonts w:ascii="Verdana" w:hAnsi="Verdana"/>
          <w:b w:val="0"/>
          <w:color w:val="auto"/>
          <w:sz w:val="22"/>
          <w:szCs w:val="22"/>
        </w:rPr>
        <w:t xml:space="preserve"> des répondants mentionnent rencontrer des obstacles à leur participation sociale dont </w:t>
      </w:r>
      <w:r w:rsidRPr="00344938">
        <w:rPr>
          <w:rFonts w:ascii="Verdana" w:hAnsi="Verdana"/>
          <w:color w:val="auto"/>
          <w:sz w:val="22"/>
          <w:szCs w:val="22"/>
        </w:rPr>
        <w:t>43%</w:t>
      </w:r>
      <w:r w:rsidRPr="00344938">
        <w:rPr>
          <w:rFonts w:ascii="Verdana" w:hAnsi="Verdana"/>
          <w:b w:val="0"/>
          <w:color w:val="auto"/>
          <w:sz w:val="22"/>
          <w:szCs w:val="22"/>
        </w:rPr>
        <w:t xml:space="preserve"> d’entre eux pour l’accès à un centre de jour, </w:t>
      </w:r>
      <w:r w:rsidRPr="00680881">
        <w:rPr>
          <w:rFonts w:ascii="Verdana" w:hAnsi="Verdana"/>
          <w:color w:val="auto"/>
          <w:sz w:val="22"/>
          <w:szCs w:val="22"/>
        </w:rPr>
        <w:t>55%</w:t>
      </w:r>
      <w:r w:rsidRPr="00344938">
        <w:rPr>
          <w:rFonts w:ascii="Verdana" w:hAnsi="Verdana"/>
          <w:b w:val="0"/>
          <w:color w:val="auto"/>
          <w:sz w:val="22"/>
          <w:szCs w:val="22"/>
        </w:rPr>
        <w:t xml:space="preserve"> pour un travail rémunéré et </w:t>
      </w:r>
      <w:r w:rsidRPr="00344938">
        <w:rPr>
          <w:rFonts w:ascii="Verdana" w:hAnsi="Verdana"/>
          <w:color w:val="auto"/>
          <w:sz w:val="22"/>
          <w:szCs w:val="22"/>
        </w:rPr>
        <w:t>37 %</w:t>
      </w:r>
      <w:r w:rsidRPr="00344938">
        <w:rPr>
          <w:rFonts w:ascii="Verdana" w:hAnsi="Verdana"/>
          <w:b w:val="0"/>
          <w:color w:val="auto"/>
          <w:sz w:val="22"/>
          <w:szCs w:val="22"/>
        </w:rPr>
        <w:t xml:space="preserve"> pour des activités dans leur communauté.</w:t>
      </w:r>
    </w:p>
    <w:p w:rsidR="00E61966" w:rsidRPr="00344938" w:rsidRDefault="00E61966" w:rsidP="00F01D79">
      <w:pPr>
        <w:pStyle w:val="Retraitcorpsdetexte"/>
        <w:ind w:left="0"/>
        <w:jc w:val="left"/>
        <w:rPr>
          <w:rFonts w:ascii="Verdana" w:hAnsi="Verdana"/>
          <w:b w:val="0"/>
          <w:bCs w:val="0"/>
          <w:color w:val="auto"/>
          <w:sz w:val="22"/>
          <w:szCs w:val="22"/>
        </w:rPr>
      </w:pPr>
      <w:r w:rsidRPr="00344938">
        <w:rPr>
          <w:rFonts w:ascii="Verdana" w:hAnsi="Verdana"/>
          <w:b w:val="0"/>
          <w:bCs w:val="0"/>
          <w:color w:val="auto"/>
          <w:sz w:val="22"/>
          <w:szCs w:val="22"/>
        </w:rPr>
        <w:t xml:space="preserve">Au niveau de l’emploi, </w:t>
      </w:r>
      <w:r w:rsidRPr="00344938">
        <w:rPr>
          <w:rFonts w:ascii="Verdana" w:hAnsi="Verdana"/>
          <w:bCs w:val="0"/>
          <w:color w:val="auto"/>
          <w:sz w:val="22"/>
          <w:szCs w:val="22"/>
        </w:rPr>
        <w:t>53%</w:t>
      </w:r>
      <w:r w:rsidRPr="00344938">
        <w:rPr>
          <w:rFonts w:ascii="Verdana" w:hAnsi="Verdana"/>
          <w:b w:val="0"/>
          <w:bCs w:val="0"/>
          <w:color w:val="auto"/>
          <w:sz w:val="22"/>
          <w:szCs w:val="22"/>
        </w:rPr>
        <w:t xml:space="preserve"> des répondants disent avoir rencontré des difficultés. De ce nombre, 43% mentionnent que la recherche d’emploi est difficile.</w:t>
      </w:r>
    </w:p>
    <w:p w:rsidR="00E61966" w:rsidRPr="00344938" w:rsidRDefault="00E61966" w:rsidP="00F01D79">
      <w:pPr>
        <w:pStyle w:val="Retraitcorpsdetexte"/>
        <w:ind w:left="0"/>
        <w:jc w:val="left"/>
        <w:rPr>
          <w:rFonts w:ascii="Verdana" w:hAnsi="Verdana"/>
          <w:b w:val="0"/>
          <w:bCs w:val="0"/>
          <w:color w:val="auto"/>
          <w:sz w:val="22"/>
          <w:szCs w:val="22"/>
        </w:rPr>
      </w:pPr>
      <w:r w:rsidRPr="00344938">
        <w:rPr>
          <w:rFonts w:ascii="Verdana" w:hAnsi="Verdana"/>
          <w:bCs w:val="0"/>
          <w:color w:val="auto"/>
          <w:sz w:val="22"/>
          <w:szCs w:val="22"/>
        </w:rPr>
        <w:t>36%</w:t>
      </w:r>
      <w:r w:rsidRPr="00344938">
        <w:rPr>
          <w:rFonts w:ascii="Verdana" w:hAnsi="Verdana"/>
          <w:b w:val="0"/>
          <w:bCs w:val="0"/>
          <w:color w:val="auto"/>
          <w:sz w:val="22"/>
          <w:szCs w:val="22"/>
        </w:rPr>
        <w:t xml:space="preserve"> disent avoir vécu une intégration difficile dans l’équipe de travail et </w:t>
      </w:r>
      <w:r w:rsidRPr="00344938">
        <w:rPr>
          <w:rFonts w:ascii="Verdana" w:hAnsi="Verdana"/>
          <w:bCs w:val="0"/>
          <w:color w:val="auto"/>
          <w:sz w:val="22"/>
          <w:szCs w:val="22"/>
        </w:rPr>
        <w:t>33%</w:t>
      </w:r>
      <w:r w:rsidRPr="00344938">
        <w:rPr>
          <w:rFonts w:ascii="Verdana" w:hAnsi="Verdana"/>
          <w:b w:val="0"/>
          <w:bCs w:val="0"/>
          <w:color w:val="auto"/>
          <w:sz w:val="22"/>
          <w:szCs w:val="22"/>
        </w:rPr>
        <w:t xml:space="preserve"> témoignent de l’incompréhension de l’employeur face au handicap.</w:t>
      </w:r>
    </w:p>
    <w:p w:rsidR="00E61966" w:rsidRPr="00344938" w:rsidRDefault="00E61966" w:rsidP="00344938">
      <w:pPr>
        <w:tabs>
          <w:tab w:val="right" w:pos="9923"/>
        </w:tabs>
        <w:spacing w:after="0" w:line="240" w:lineRule="auto"/>
        <w:rPr>
          <w:rFonts w:ascii="Verdana" w:hAnsi="Verdana" w:cs="Arial"/>
          <w:bCs/>
        </w:rPr>
      </w:pPr>
      <w:r w:rsidRPr="00344938">
        <w:rPr>
          <w:rFonts w:ascii="Verdana" w:hAnsi="Verdana" w:cs="Arial"/>
          <w:b/>
          <w:bCs/>
        </w:rPr>
        <w:t>49%</w:t>
      </w:r>
      <w:r w:rsidRPr="00344938">
        <w:rPr>
          <w:rFonts w:ascii="Verdana" w:hAnsi="Verdana" w:cs="Arial"/>
          <w:bCs/>
        </w:rPr>
        <w:t xml:space="preserve"> des répondants sont sans emploi rémunéré et ceux qui ont un emploi, </w:t>
      </w:r>
      <w:r w:rsidRPr="00344938">
        <w:rPr>
          <w:rFonts w:ascii="Verdana" w:hAnsi="Verdana" w:cs="Arial"/>
          <w:b/>
          <w:bCs/>
        </w:rPr>
        <w:t>41%</w:t>
      </w:r>
      <w:r w:rsidRPr="00344938">
        <w:rPr>
          <w:rFonts w:ascii="Verdana" w:hAnsi="Verdana" w:cs="Arial"/>
          <w:bCs/>
        </w:rPr>
        <w:t xml:space="preserve"> occupent un poste à temps partiel. </w:t>
      </w:r>
    </w:p>
    <w:p w:rsidR="00E61966" w:rsidRPr="00344938" w:rsidRDefault="00E61966" w:rsidP="00F01D79">
      <w:pPr>
        <w:tabs>
          <w:tab w:val="right" w:pos="9923"/>
        </w:tabs>
        <w:spacing w:line="240" w:lineRule="auto"/>
        <w:rPr>
          <w:rFonts w:ascii="Verdana" w:hAnsi="Verdana" w:cs="Arial"/>
          <w:bCs/>
        </w:rPr>
      </w:pPr>
      <w:r w:rsidRPr="00344938">
        <w:rPr>
          <w:rFonts w:ascii="Verdana" w:hAnsi="Verdana" w:cs="Arial"/>
          <w:b/>
          <w:bCs/>
        </w:rPr>
        <w:t>56%</w:t>
      </w:r>
      <w:r w:rsidRPr="00344938">
        <w:rPr>
          <w:rFonts w:ascii="Verdana" w:hAnsi="Verdana" w:cs="Arial"/>
          <w:bCs/>
        </w:rPr>
        <w:t xml:space="preserve"> des répondants participent à des activités sociales de loisir, de sport et de bénévolat.</w:t>
      </w:r>
    </w:p>
    <w:p w:rsidR="0036637C" w:rsidRPr="00344938" w:rsidRDefault="0036637C" w:rsidP="00F01D79">
      <w:pPr>
        <w:spacing w:line="240" w:lineRule="auto"/>
        <w:rPr>
          <w:rFonts w:ascii="Verdana" w:hAnsi="Verdana" w:cs="Arial"/>
          <w:b/>
        </w:rPr>
      </w:pPr>
      <w:r w:rsidRPr="00344938">
        <w:rPr>
          <w:rFonts w:ascii="Verdana" w:hAnsi="Verdana" w:cs="Arial"/>
          <w:b/>
        </w:rPr>
        <w:t>LE SONDAGE RÉVÈLE QUE…</w:t>
      </w:r>
    </w:p>
    <w:p w:rsidR="00E61966" w:rsidRPr="00344938" w:rsidRDefault="00E61966" w:rsidP="00344938">
      <w:pPr>
        <w:tabs>
          <w:tab w:val="right" w:pos="9923"/>
        </w:tabs>
        <w:spacing w:after="0" w:line="240" w:lineRule="auto"/>
        <w:rPr>
          <w:rFonts w:ascii="Verdana" w:hAnsi="Verdana" w:cs="Arial"/>
        </w:rPr>
      </w:pPr>
      <w:r w:rsidRPr="00344938">
        <w:rPr>
          <w:rFonts w:ascii="Verdana" w:hAnsi="Verdana" w:cs="Arial"/>
          <w:b/>
        </w:rPr>
        <w:t>37%</w:t>
      </w:r>
      <w:r w:rsidRPr="00344938">
        <w:rPr>
          <w:rFonts w:ascii="Verdana" w:hAnsi="Verdana" w:cs="Arial"/>
        </w:rPr>
        <w:t xml:space="preserve"> des répondants mentionnent l’absence de service d’accompagnement pour favoriser leur participation sociale.</w:t>
      </w:r>
    </w:p>
    <w:p w:rsidR="00E61966" w:rsidRPr="00344938" w:rsidRDefault="00E61966" w:rsidP="00344938">
      <w:pPr>
        <w:tabs>
          <w:tab w:val="right" w:pos="9923"/>
        </w:tabs>
        <w:spacing w:line="240" w:lineRule="auto"/>
        <w:rPr>
          <w:rFonts w:ascii="Verdana" w:hAnsi="Verdana" w:cs="Arial"/>
        </w:rPr>
      </w:pPr>
      <w:r w:rsidRPr="00344938">
        <w:rPr>
          <w:rFonts w:ascii="Verdana" w:hAnsi="Verdana" w:cs="Arial"/>
          <w:b/>
        </w:rPr>
        <w:t>29%</w:t>
      </w:r>
      <w:r w:rsidRPr="00344938">
        <w:rPr>
          <w:rFonts w:ascii="Verdana" w:hAnsi="Verdana" w:cs="Arial"/>
        </w:rPr>
        <w:t xml:space="preserve"> des répondants mentionnent un manque d’accès et de flexibilité du transport pour répondre à leurs besoins.</w:t>
      </w:r>
    </w:p>
    <w:p w:rsidR="0036637C" w:rsidRPr="00344938" w:rsidRDefault="0036637C" w:rsidP="00F01D79">
      <w:pPr>
        <w:spacing w:line="240" w:lineRule="auto"/>
        <w:rPr>
          <w:rFonts w:ascii="Verdana" w:hAnsi="Verdana" w:cs="Arial"/>
          <w:b/>
        </w:rPr>
      </w:pPr>
      <w:r w:rsidRPr="00344938">
        <w:rPr>
          <w:rFonts w:ascii="Verdana" w:hAnsi="Verdana" w:cs="Arial"/>
          <w:b/>
        </w:rPr>
        <w:t>Les principales raisons évoquées sont :</w:t>
      </w:r>
    </w:p>
    <w:p w:rsidR="00E61966" w:rsidRPr="00344938" w:rsidRDefault="00E61966" w:rsidP="00F01D79">
      <w:pPr>
        <w:spacing w:after="0" w:line="240" w:lineRule="auto"/>
        <w:jc w:val="both"/>
        <w:rPr>
          <w:rFonts w:ascii="Verdana" w:hAnsi="Verdana" w:cs="Arial"/>
        </w:rPr>
      </w:pPr>
      <w:r w:rsidRPr="00344938">
        <w:rPr>
          <w:rFonts w:ascii="Verdana" w:hAnsi="Verdana" w:cs="Arial"/>
        </w:rPr>
        <w:t xml:space="preserve">Le manque de soutien à l’intégration. </w:t>
      </w:r>
    </w:p>
    <w:p w:rsidR="00E61966" w:rsidRPr="00344938" w:rsidRDefault="00E61966" w:rsidP="00F01D79">
      <w:pPr>
        <w:spacing w:after="0" w:line="240" w:lineRule="auto"/>
        <w:jc w:val="both"/>
        <w:rPr>
          <w:rFonts w:ascii="Verdana" w:hAnsi="Verdana" w:cs="Arial"/>
        </w:rPr>
      </w:pPr>
      <w:r w:rsidRPr="00344938">
        <w:rPr>
          <w:rFonts w:ascii="Verdana" w:hAnsi="Verdana" w:cs="Arial"/>
        </w:rPr>
        <w:t xml:space="preserve">Le manque d’information sur l’offre de service disponible. </w:t>
      </w:r>
    </w:p>
    <w:p w:rsidR="00E61966" w:rsidRPr="00344938" w:rsidRDefault="00E61966" w:rsidP="00F01D79">
      <w:pPr>
        <w:spacing w:after="0" w:line="240" w:lineRule="auto"/>
        <w:rPr>
          <w:rFonts w:ascii="Verdana" w:hAnsi="Verdana" w:cs="Arial"/>
        </w:rPr>
      </w:pPr>
      <w:r w:rsidRPr="00344938">
        <w:rPr>
          <w:rFonts w:ascii="Verdana" w:hAnsi="Verdana" w:cs="Arial"/>
        </w:rPr>
        <w:t>Le déficit criant de services socio-professionnels aux 21 ans et plus.</w:t>
      </w:r>
    </w:p>
    <w:p w:rsidR="0036637C" w:rsidRPr="00344938" w:rsidRDefault="0036637C" w:rsidP="00F01D79">
      <w:pPr>
        <w:pStyle w:val="Paragraphedeliste"/>
        <w:spacing w:after="0" w:line="240" w:lineRule="auto"/>
        <w:ind w:left="360"/>
        <w:rPr>
          <w:rFonts w:ascii="Verdana" w:hAnsi="Verdana" w:cs="Arial"/>
          <w:b/>
        </w:rPr>
      </w:pPr>
      <w:r w:rsidRPr="00344938">
        <w:rPr>
          <w:rFonts w:ascii="Verdana" w:hAnsi="Verdana" w:cs="Arial"/>
          <w:b/>
        </w:rPr>
        <w:br w:type="page"/>
      </w:r>
    </w:p>
    <w:p w:rsidR="0036637C" w:rsidRPr="00344938" w:rsidRDefault="0036637C" w:rsidP="00F01D79">
      <w:pPr>
        <w:pStyle w:val="Paragraphedeliste"/>
        <w:tabs>
          <w:tab w:val="right" w:pos="9923"/>
        </w:tabs>
        <w:spacing w:before="240" w:line="240" w:lineRule="auto"/>
        <w:ind w:left="0"/>
        <w:rPr>
          <w:rFonts w:ascii="Verdana" w:hAnsi="Verdana" w:cs="Arial"/>
          <w:b/>
        </w:rPr>
      </w:pPr>
      <w:r w:rsidRPr="00344938">
        <w:rPr>
          <w:rFonts w:ascii="Verdana" w:hAnsi="Verdana" w:cs="Arial"/>
          <w:b/>
        </w:rPr>
        <w:lastRenderedPageBreak/>
        <w:t xml:space="preserve">VOS DROITS </w:t>
      </w:r>
    </w:p>
    <w:p w:rsidR="0036637C" w:rsidRPr="00344938" w:rsidRDefault="0036637C" w:rsidP="00F01D79">
      <w:pPr>
        <w:pStyle w:val="Paragraphedeliste"/>
        <w:tabs>
          <w:tab w:val="right" w:pos="9923"/>
        </w:tabs>
        <w:spacing w:before="240" w:line="240" w:lineRule="auto"/>
        <w:ind w:left="0"/>
        <w:rPr>
          <w:rFonts w:ascii="Verdana" w:hAnsi="Verdana" w:cs="Arial"/>
          <w:b/>
        </w:rPr>
      </w:pPr>
    </w:p>
    <w:p w:rsidR="0036637C" w:rsidRPr="00344938" w:rsidRDefault="0036637C" w:rsidP="00F01D79">
      <w:pPr>
        <w:pStyle w:val="Paragraphedeliste"/>
        <w:tabs>
          <w:tab w:val="right" w:pos="9923"/>
        </w:tabs>
        <w:spacing w:before="240" w:line="240" w:lineRule="auto"/>
        <w:ind w:left="0"/>
        <w:rPr>
          <w:rFonts w:ascii="Verdana" w:hAnsi="Verdana" w:cs="Arial"/>
          <w:b/>
        </w:rPr>
      </w:pPr>
      <w:r w:rsidRPr="00344938">
        <w:rPr>
          <w:rFonts w:ascii="Verdana" w:hAnsi="Verdana" w:cs="Arial"/>
          <w:b/>
        </w:rPr>
        <w:t>SAVIEZ-VOUS QUE…</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tblGrid>
      <w:tr w:rsidR="00F01D79" w:rsidRPr="00344938" w:rsidTr="00687119">
        <w:tc>
          <w:tcPr>
            <w:tcW w:w="10070" w:type="dxa"/>
          </w:tcPr>
          <w:p w:rsidR="00F01D79" w:rsidRPr="00344938" w:rsidRDefault="00E61966" w:rsidP="00F01D79">
            <w:pPr>
              <w:tabs>
                <w:tab w:val="right" w:pos="9923"/>
              </w:tabs>
              <w:rPr>
                <w:rFonts w:ascii="Verdana" w:hAnsi="Verdana"/>
                <w:b/>
              </w:rPr>
            </w:pPr>
            <w:r w:rsidRPr="00344938">
              <w:rPr>
                <w:rFonts w:ascii="Verdana" w:hAnsi="Verdana" w:cs="Arial"/>
                <w:shd w:val="clear" w:color="auto" w:fill="FFFFFF"/>
              </w:rPr>
              <w:t>La politique </w:t>
            </w:r>
            <w:r w:rsidRPr="00344938">
              <w:rPr>
                <w:rStyle w:val="Accentuation"/>
                <w:rFonts w:ascii="Verdana" w:hAnsi="Verdana" w:cs="Arial"/>
                <w:shd w:val="clear" w:color="auto" w:fill="FFFFFF"/>
              </w:rPr>
              <w:t>À part Entière</w:t>
            </w:r>
            <w:r w:rsidRPr="00344938">
              <w:rPr>
                <w:rFonts w:ascii="Verdana" w:hAnsi="Verdana" w:cs="Arial"/>
                <w:shd w:val="clear" w:color="auto" w:fill="FFFFFF"/>
              </w:rPr>
              <w:t> s’appuie sur différents fondements juridiques, dont la </w:t>
            </w:r>
            <w:hyperlink r:id="rId7" w:tgtFrame="_blank" w:history="1">
              <w:r w:rsidRPr="00344938">
                <w:rPr>
                  <w:rStyle w:val="Lienhypertexte"/>
                  <w:rFonts w:ascii="Verdana" w:hAnsi="Verdana" w:cs="Arial"/>
                  <w:color w:val="002060"/>
                  <w:shd w:val="clear" w:color="auto" w:fill="FFFFFF"/>
                </w:rPr>
                <w:t>Charte des droits et libertés de la personne</w:t>
              </w:r>
              <w:r w:rsidRPr="00344938">
                <w:rPr>
                  <w:rFonts w:ascii="Verdana" w:hAnsi="Verdana" w:cs="Arial"/>
                  <w:b/>
                  <w:noProof/>
                  <w:shd w:val="clear" w:color="auto" w:fill="FFFFFF"/>
                </w:rPr>
                <w:drawing>
                  <wp:inline distT="0" distB="0" distL="0" distR="0" wp14:anchorId="38924AC1" wp14:editId="5F4A91EC">
                    <wp:extent cx="95250" cy="95250"/>
                    <wp:effectExtent l="0" t="0" r="0" b="0"/>
                    <wp:docPr id="2" name="Image 2" descr="Ce contenu Web externe, qui s'ouvrira dans une nouvelle fenêtre, peut comporter des obstacles à l'accessibilité puisqu'il est hébergé dans un autre site Web.">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 contenu Web externe, qui s'ouvrira dans une nouvelle fenêtre, peut comporter des obstacles à l'accessibilité puisqu'il est hébergé dans un autre site Web.">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344938">
              <w:rPr>
                <w:rFonts w:ascii="Verdana" w:hAnsi="Verdana" w:cs="Arial"/>
                <w:shd w:val="clear" w:color="auto" w:fill="FFFFFF"/>
              </w:rPr>
              <w:t> et la </w:t>
            </w:r>
            <w:hyperlink r:id="rId9" w:tgtFrame="_blank" w:history="1">
              <w:r w:rsidRPr="00344938">
                <w:rPr>
                  <w:rStyle w:val="Lienhypertexte"/>
                  <w:rFonts w:ascii="Verdana" w:hAnsi="Verdana" w:cs="Arial"/>
                  <w:color w:val="002060"/>
                  <w:shd w:val="clear" w:color="auto" w:fill="FFFFFF"/>
                </w:rPr>
                <w:t>Loi assurant l’exercice des droits des personnes handicapées en vue de leur intégration scolaire, professionnelle et sociale</w:t>
              </w:r>
              <w:r w:rsidRPr="00344938">
                <w:rPr>
                  <w:rFonts w:ascii="Verdana" w:hAnsi="Verdana" w:cs="Arial"/>
                  <w:b/>
                  <w:noProof/>
                  <w:shd w:val="clear" w:color="auto" w:fill="FFFFFF"/>
                </w:rPr>
                <w:drawing>
                  <wp:inline distT="0" distB="0" distL="0" distR="0" wp14:anchorId="4ACCF355" wp14:editId="339FF399">
                    <wp:extent cx="95250" cy="95250"/>
                    <wp:effectExtent l="0" t="0" r="0" b="0"/>
                    <wp:docPr id="1" name="Image 1" descr="Ce contenu Web externe, qui s'ouvrira dans une nouvelle fenêtre, peut comporter des obstacles à l'accessibilité puisqu'il est hébergé dans un autre site Web.">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 contenu Web externe, qui s'ouvrira dans une nouvelle fenêtre, peut comporter des obstacles à l'accessibilité puisqu'il est hébergé dans un autre site Web.">
                              <a:hlinkClick r:id="rId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344938">
              <w:rPr>
                <w:rFonts w:ascii="Verdana" w:hAnsi="Verdana" w:cs="Arial"/>
                <w:shd w:val="clear" w:color="auto" w:fill="FFFFFF"/>
              </w:rPr>
              <w:t>. Elle repose également sur des fondements conceptuels, plus particulièrement sur une conception renouvelée de la participation sociale.</w:t>
            </w:r>
            <w:r w:rsidRPr="00344938">
              <w:rPr>
                <w:rFonts w:ascii="Verdana" w:hAnsi="Verdana" w:cs="Arial"/>
              </w:rPr>
              <w:t xml:space="preserve"> (2009). Entre autres : </w:t>
            </w:r>
            <w:r w:rsidRPr="00344938">
              <w:rPr>
                <w:rFonts w:ascii="Verdana" w:hAnsi="Verdana"/>
              </w:rPr>
              <w:t>Améliorer le revenu des personnes handicapées ; accroître la participation des personnes handicapées sur le marché du travail, sans discrimination; le développement de services structurés d’accompagnement</w:t>
            </w:r>
            <w:r w:rsidRPr="00344938">
              <w:rPr>
                <w:rFonts w:ascii="Verdana" w:hAnsi="Verdana"/>
                <w:b/>
              </w:rPr>
              <w:t>.</w:t>
            </w:r>
          </w:p>
          <w:p w:rsidR="00E61966" w:rsidRPr="00344938" w:rsidRDefault="00E61966" w:rsidP="00F01D79">
            <w:pPr>
              <w:tabs>
                <w:tab w:val="right" w:pos="9923"/>
              </w:tabs>
              <w:spacing w:before="240"/>
              <w:rPr>
                <w:rFonts w:ascii="Verdana" w:hAnsi="Verdana"/>
                <w:color w:val="002060"/>
              </w:rPr>
            </w:pPr>
            <w:r w:rsidRPr="00344938">
              <w:rPr>
                <w:rFonts w:ascii="Verdana" w:hAnsi="Verdana"/>
                <w:b/>
              </w:rPr>
              <w:t xml:space="preserve">Le rapport </w:t>
            </w:r>
            <w:r w:rsidR="00344938" w:rsidRPr="00344938">
              <w:rPr>
                <w:rFonts w:ascii="Verdana" w:hAnsi="Verdana"/>
                <w:b/>
              </w:rPr>
              <w:t>d</w:t>
            </w:r>
            <w:r w:rsidRPr="00344938">
              <w:rPr>
                <w:rFonts w:ascii="Verdana" w:hAnsi="Verdana"/>
                <w:b/>
                <w:iCs/>
              </w:rPr>
              <w:t>es activités socioprofessionnelles et communautaires</w:t>
            </w:r>
            <w:r w:rsidRPr="00344938">
              <w:rPr>
                <w:rFonts w:ascii="Verdana" w:hAnsi="Verdana"/>
                <w:iCs/>
              </w:rPr>
              <w:t xml:space="preserve"> </w:t>
            </w:r>
            <w:r w:rsidRPr="00344938">
              <w:rPr>
                <w:rFonts w:ascii="Verdana" w:hAnsi="Verdana"/>
                <w:b/>
                <w:iCs/>
              </w:rPr>
              <w:t>: état de la situation et des actions convenues pour l'amélioration des services</w:t>
            </w:r>
            <w:r w:rsidRPr="00344938">
              <w:rPr>
                <w:rFonts w:ascii="Verdana" w:hAnsi="Verdana"/>
                <w:b/>
              </w:rPr>
              <w:t xml:space="preserve"> (2014). </w:t>
            </w:r>
            <w:r w:rsidRPr="00344938">
              <w:rPr>
                <w:rFonts w:ascii="Verdana" w:hAnsi="Verdana" w:cs="Times New Roman"/>
              </w:rPr>
              <w:t xml:space="preserve">Il engage le ministère de la Santé et des Services sociaux, son réseau et ses partenaires dans une démarche structurée afin d’améliorer les services aux personnes ayant une déficience dans le cadre de différents cheminements : la transition école vie active, le développement de leurs compétences et habiletés de travail ; les activités contributives pour désigner la participation à des activités de production de biens ou de services chez un tiers, sous la forme d’un stage ou d’un plateau de travail et les activités de jour pour poursuivre le développement de l’autonomie ou le maintien des acquis et l’accès à des contacts sociaux. </w:t>
            </w:r>
            <w:hyperlink r:id="rId10" w:history="1">
              <w:r w:rsidRPr="00344938">
                <w:rPr>
                  <w:rStyle w:val="Lienhypertexte"/>
                  <w:rFonts w:ascii="Verdana" w:hAnsi="Verdana"/>
                  <w:color w:val="002060"/>
                </w:rPr>
                <w:t>http://publications.msss.gouv.qc.ca/msss/document-001084/</w:t>
              </w:r>
            </w:hyperlink>
          </w:p>
          <w:p w:rsidR="00E61966" w:rsidRPr="00344938" w:rsidRDefault="00E61966" w:rsidP="00344938">
            <w:pPr>
              <w:tabs>
                <w:tab w:val="right" w:pos="9923"/>
              </w:tabs>
              <w:spacing w:before="240"/>
              <w:rPr>
                <w:rFonts w:ascii="Verdana" w:hAnsi="Verdana" w:cs="Arial"/>
                <w:bCs/>
              </w:rPr>
            </w:pPr>
            <w:r w:rsidRPr="00344938">
              <w:rPr>
                <w:rFonts w:ascii="Verdana" w:hAnsi="Verdana"/>
                <w:b/>
              </w:rPr>
              <w:t>Le Cadre de référence du ministère de la santé et des services sociaux</w:t>
            </w:r>
            <w:r w:rsidRPr="00344938">
              <w:rPr>
                <w:rFonts w:ascii="Verdana" w:hAnsi="Verdana"/>
              </w:rPr>
              <w:t xml:space="preserve"> </w:t>
            </w:r>
            <w:r w:rsidRPr="00344938">
              <w:rPr>
                <w:rFonts w:ascii="Verdana" w:hAnsi="Verdana"/>
                <w:b/>
              </w:rPr>
              <w:t>pour l’organisation des services</w:t>
            </w:r>
            <w:r w:rsidRPr="00344938">
              <w:rPr>
                <w:rFonts w:ascii="Verdana" w:hAnsi="Verdana"/>
              </w:rPr>
              <w:t xml:space="preserve"> en déficience physique, déficience intellectuelle et trouble du spectre de l’autisme (2017).Les différents services doivent être accessibles au moment approprié, pour un véritable continuum, qui visent le développement de la personne lui permettant d’avoir une autonomie fonctionnelle optimale dans les domaines suivants : développement de l’autonomie personnelle, résidentielle, sociale, scolaire et professionnelle. </w:t>
            </w:r>
            <w:hyperlink r:id="rId11" w:history="1">
              <w:r w:rsidRPr="00344938">
                <w:rPr>
                  <w:rStyle w:val="Lienhypertexte"/>
                  <w:rFonts w:ascii="Verdana" w:hAnsi="Verdana"/>
                  <w:color w:val="002060"/>
                </w:rPr>
                <w:t>http://publications.msss.gouv.qc.ca/msss/fichiers/2017/17-824-04W_accessible.pdf</w:t>
              </w:r>
            </w:hyperlink>
          </w:p>
        </w:tc>
      </w:tr>
    </w:tbl>
    <w:p w:rsidR="00344938" w:rsidRPr="00344938" w:rsidRDefault="00344938" w:rsidP="00F01D79">
      <w:pPr>
        <w:pStyle w:val="Paragraphedeliste"/>
        <w:tabs>
          <w:tab w:val="right" w:pos="9923"/>
        </w:tabs>
        <w:spacing w:line="240" w:lineRule="auto"/>
        <w:ind w:left="0"/>
        <w:rPr>
          <w:rFonts w:ascii="Verdana" w:hAnsi="Verdana" w:cs="Arial"/>
          <w:b/>
        </w:rPr>
      </w:pPr>
    </w:p>
    <w:p w:rsidR="00344938" w:rsidRPr="00344938" w:rsidRDefault="00344938" w:rsidP="00F01D79">
      <w:pPr>
        <w:pStyle w:val="Paragraphedeliste"/>
        <w:tabs>
          <w:tab w:val="right" w:pos="9923"/>
        </w:tabs>
        <w:spacing w:line="240" w:lineRule="auto"/>
        <w:ind w:left="0"/>
        <w:rPr>
          <w:rFonts w:ascii="Verdana" w:hAnsi="Verdana" w:cs="Arial"/>
          <w:b/>
        </w:rPr>
      </w:pPr>
    </w:p>
    <w:p w:rsidR="00344938" w:rsidRPr="00344938" w:rsidRDefault="00344938">
      <w:pPr>
        <w:rPr>
          <w:rFonts w:ascii="Verdana" w:hAnsi="Verdana" w:cs="Arial"/>
          <w:b/>
        </w:rPr>
      </w:pPr>
      <w:r w:rsidRPr="00344938">
        <w:rPr>
          <w:rFonts w:ascii="Verdana" w:hAnsi="Verdana" w:cs="Arial"/>
          <w:b/>
        </w:rPr>
        <w:br w:type="page"/>
      </w:r>
    </w:p>
    <w:p w:rsidR="0036637C" w:rsidRPr="00344938" w:rsidRDefault="0036637C" w:rsidP="00F01D79">
      <w:pPr>
        <w:pStyle w:val="Paragraphedeliste"/>
        <w:tabs>
          <w:tab w:val="right" w:pos="9923"/>
        </w:tabs>
        <w:spacing w:line="240" w:lineRule="auto"/>
        <w:ind w:left="0"/>
        <w:rPr>
          <w:rFonts w:ascii="Verdana" w:hAnsi="Verdana" w:cs="Arial"/>
          <w:b/>
        </w:rPr>
      </w:pPr>
      <w:r w:rsidRPr="00344938">
        <w:rPr>
          <w:rFonts w:ascii="Verdana" w:hAnsi="Verdana" w:cs="Arial"/>
          <w:b/>
        </w:rPr>
        <w:lastRenderedPageBreak/>
        <w:t>NOUS REVENDIQUONS</w:t>
      </w:r>
    </w:p>
    <w:p w:rsidR="00344938" w:rsidRPr="00344938" w:rsidRDefault="00344938" w:rsidP="00344938">
      <w:pPr>
        <w:tabs>
          <w:tab w:val="right" w:pos="9923"/>
        </w:tabs>
        <w:rPr>
          <w:rFonts w:ascii="Verdana" w:hAnsi="Verdana" w:cs="Arial"/>
        </w:rPr>
      </w:pPr>
      <w:r w:rsidRPr="00344938">
        <w:rPr>
          <w:rFonts w:ascii="Verdana" w:hAnsi="Verdana" w:cs="Arial"/>
        </w:rPr>
        <w:t>Que les CISSS de la Montérégie développent une offre de services en continuité et en qualité qui répond aux différents profils des personnes en D.I, en D.P. et en TSA et que ces milieux soient stimulants et non considérés comme des lieux de répit ou de gardiennage.</w:t>
      </w:r>
    </w:p>
    <w:p w:rsidR="00344938" w:rsidRPr="00344938" w:rsidRDefault="00344938" w:rsidP="00344938">
      <w:pPr>
        <w:tabs>
          <w:tab w:val="right" w:pos="9923"/>
        </w:tabs>
        <w:rPr>
          <w:rFonts w:ascii="Verdana" w:hAnsi="Verdana" w:cs="Arial"/>
        </w:rPr>
      </w:pPr>
      <w:r w:rsidRPr="00344938">
        <w:rPr>
          <w:rFonts w:ascii="Verdana" w:hAnsi="Verdana" w:cs="Arial"/>
        </w:rPr>
        <w:t>Que soit développé un réel programme d’accompagnement visant à soutenir l’autonomie et la participation sociale des personnes tel que le prévoit la Politique à Part Entière.</w:t>
      </w:r>
    </w:p>
    <w:p w:rsidR="00344938" w:rsidRPr="00344938" w:rsidRDefault="00344938" w:rsidP="00344938">
      <w:pPr>
        <w:tabs>
          <w:tab w:val="right" w:pos="9923"/>
        </w:tabs>
        <w:rPr>
          <w:rFonts w:ascii="Verdana" w:hAnsi="Verdana" w:cs="Arial"/>
        </w:rPr>
      </w:pPr>
      <w:r w:rsidRPr="00344938">
        <w:rPr>
          <w:rFonts w:ascii="Verdana" w:hAnsi="Verdana" w:cs="Arial"/>
        </w:rPr>
        <w:t>Que les décideurs du réseau public et parapublic en Montérégie participent au programme d’accès à l’égalité en emploi et facilitent l’embauche des personnes handicapées, leur assurant un salaire permettant d’améliorer leur qualité de vie.</w:t>
      </w:r>
    </w:p>
    <w:p w:rsidR="00344938" w:rsidRPr="00344938" w:rsidRDefault="00344938" w:rsidP="00344938">
      <w:pPr>
        <w:tabs>
          <w:tab w:val="right" w:pos="9923"/>
        </w:tabs>
        <w:spacing w:line="240" w:lineRule="auto"/>
        <w:rPr>
          <w:rFonts w:ascii="Verdana" w:hAnsi="Verdana" w:cs="Arial"/>
        </w:rPr>
      </w:pPr>
      <w:r w:rsidRPr="00344938">
        <w:rPr>
          <w:rFonts w:ascii="Verdana" w:hAnsi="Verdana" w:cs="Arial"/>
        </w:rPr>
        <w:t>Que les services de transport collectif soient améliorés pour permettre un meilleur accès aux divers services offerts aux personnes handicapées en tenant compte de l’ensemble de la chaine de déplacement.</w:t>
      </w:r>
    </w:p>
    <w:p w:rsidR="0036637C" w:rsidRPr="00344938" w:rsidRDefault="0036637C" w:rsidP="00F01D79">
      <w:pPr>
        <w:spacing w:line="240" w:lineRule="auto"/>
        <w:jc w:val="center"/>
        <w:rPr>
          <w:rFonts w:ascii="Verdana" w:hAnsi="Verdana" w:cs="Arial"/>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44938">
        <w:rPr>
          <w:rFonts w:ascii="Verdana" w:hAnsi="Verdana" w:cs="Arial"/>
          <w:b/>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rsidR="0036637C" w:rsidRPr="00344938" w:rsidRDefault="0036637C" w:rsidP="00F01D79">
      <w:pPr>
        <w:pStyle w:val="Paragraphedeliste"/>
        <w:tabs>
          <w:tab w:val="right" w:pos="9923"/>
        </w:tabs>
        <w:spacing w:line="240" w:lineRule="auto"/>
        <w:ind w:left="0"/>
        <w:rPr>
          <w:rFonts w:ascii="Verdana" w:hAnsi="Verdana"/>
        </w:rPr>
      </w:pPr>
      <w:r w:rsidRPr="00344938">
        <w:rPr>
          <w:rFonts w:ascii="Verdana" w:hAnsi="Verdana" w:cs="Arial"/>
          <w:bCs/>
        </w:rPr>
        <w:t xml:space="preserve">Extrait de la plateforme de revendications produite par le Groupement des associations de personnes handicapées de la Rive-Sud de Montréal. La plateforme intégrale en version accessible est disponible sur le site Web </w:t>
      </w:r>
      <w:hyperlink r:id="rId12" w:history="1">
        <w:r w:rsidRPr="00344938">
          <w:rPr>
            <w:rStyle w:val="Lienhypertexte"/>
            <w:rFonts w:ascii="Verdana" w:hAnsi="Verdana" w:cs="Arial"/>
            <w:bCs/>
            <w:color w:val="auto"/>
          </w:rPr>
          <w:t>www.gaphrsm.ca</w:t>
        </w:r>
      </w:hyperlink>
    </w:p>
    <w:bookmarkEnd w:id="0"/>
    <w:p w:rsidR="00600F48" w:rsidRPr="00344938" w:rsidRDefault="00600F48" w:rsidP="00F01D79">
      <w:pPr>
        <w:spacing w:line="240" w:lineRule="auto"/>
        <w:rPr>
          <w:rFonts w:ascii="Verdana" w:hAnsi="Verdana"/>
        </w:rPr>
      </w:pPr>
    </w:p>
    <w:sectPr w:rsidR="00600F48" w:rsidRPr="00344938">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9F2" w:rsidRDefault="00680881">
      <w:pPr>
        <w:spacing w:after="0" w:line="240" w:lineRule="auto"/>
      </w:pPr>
      <w:r>
        <w:separator/>
      </w:r>
    </w:p>
  </w:endnote>
  <w:endnote w:type="continuationSeparator" w:id="0">
    <w:p w:rsidR="004B39F2" w:rsidRDefault="0068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616494"/>
      <w:docPartObj>
        <w:docPartGallery w:val="Page Numbers (Bottom of Page)"/>
        <w:docPartUnique/>
      </w:docPartObj>
    </w:sdtPr>
    <w:sdtEndPr/>
    <w:sdtContent>
      <w:p w:rsidR="00DA058E" w:rsidRDefault="00736D87">
        <w:pPr>
          <w:pStyle w:val="Pieddepage"/>
          <w:jc w:val="center"/>
        </w:pPr>
        <w:r>
          <w:fldChar w:fldCharType="begin"/>
        </w:r>
        <w:r>
          <w:instrText>PAGE   \* MERGEFORMAT</w:instrText>
        </w:r>
        <w:r>
          <w:fldChar w:fldCharType="separate"/>
        </w:r>
        <w:r>
          <w:rPr>
            <w:lang w:val="fr-FR"/>
          </w:rPr>
          <w:t>2</w:t>
        </w:r>
        <w:r>
          <w:fldChar w:fldCharType="end"/>
        </w:r>
      </w:p>
    </w:sdtContent>
  </w:sdt>
  <w:p w:rsidR="00DA058E" w:rsidRDefault="009C53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9F2" w:rsidRDefault="00680881">
      <w:pPr>
        <w:spacing w:after="0" w:line="240" w:lineRule="auto"/>
      </w:pPr>
      <w:r>
        <w:separator/>
      </w:r>
    </w:p>
  </w:footnote>
  <w:footnote w:type="continuationSeparator" w:id="0">
    <w:p w:rsidR="004B39F2" w:rsidRDefault="00680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04F7"/>
    <w:multiLevelType w:val="hybridMultilevel"/>
    <w:tmpl w:val="C7C0B0E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ECA34DC"/>
    <w:multiLevelType w:val="hybridMultilevel"/>
    <w:tmpl w:val="F73E8FFE"/>
    <w:lvl w:ilvl="0" w:tplc="FE6C1F2E">
      <w:numFmt w:val="bullet"/>
      <w:lvlText w:val="-"/>
      <w:lvlJc w:val="left"/>
      <w:pPr>
        <w:ind w:left="360" w:hanging="360"/>
      </w:pPr>
      <w:rPr>
        <w:rFonts w:ascii="Franklin Gothic Medium" w:eastAsiaTheme="minorHAnsi" w:hAnsi="Franklin Gothic Medium"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33A16AFC"/>
    <w:multiLevelType w:val="hybridMultilevel"/>
    <w:tmpl w:val="2392DD0C"/>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3A70149B"/>
    <w:multiLevelType w:val="hybridMultilevel"/>
    <w:tmpl w:val="3E40946C"/>
    <w:lvl w:ilvl="0" w:tplc="6D560074">
      <w:start w:val="1"/>
      <w:numFmt w:val="bullet"/>
      <w:lvlText w:val=""/>
      <w:lvlJc w:val="left"/>
      <w:pPr>
        <w:ind w:left="502"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4F74B21"/>
    <w:multiLevelType w:val="hybridMultilevel"/>
    <w:tmpl w:val="CBD8D1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D734830"/>
    <w:multiLevelType w:val="hybridMultilevel"/>
    <w:tmpl w:val="F77A97CA"/>
    <w:lvl w:ilvl="0" w:tplc="0896AA6A">
      <w:start w:val="1"/>
      <w:numFmt w:val="bullet"/>
      <w:lvlText w:val="•"/>
      <w:lvlJc w:val="left"/>
      <w:pPr>
        <w:tabs>
          <w:tab w:val="num" w:pos="360"/>
        </w:tabs>
        <w:ind w:left="360" w:hanging="360"/>
      </w:pPr>
      <w:rPr>
        <w:rFonts w:ascii="Arial" w:hAnsi="Arial" w:hint="default"/>
      </w:rPr>
    </w:lvl>
    <w:lvl w:ilvl="1" w:tplc="29029626" w:tentative="1">
      <w:start w:val="1"/>
      <w:numFmt w:val="bullet"/>
      <w:lvlText w:val="•"/>
      <w:lvlJc w:val="left"/>
      <w:pPr>
        <w:tabs>
          <w:tab w:val="num" w:pos="1080"/>
        </w:tabs>
        <w:ind w:left="1080" w:hanging="360"/>
      </w:pPr>
      <w:rPr>
        <w:rFonts w:ascii="Arial" w:hAnsi="Arial" w:hint="default"/>
      </w:rPr>
    </w:lvl>
    <w:lvl w:ilvl="2" w:tplc="DF5418E4" w:tentative="1">
      <w:start w:val="1"/>
      <w:numFmt w:val="bullet"/>
      <w:lvlText w:val="•"/>
      <w:lvlJc w:val="left"/>
      <w:pPr>
        <w:tabs>
          <w:tab w:val="num" w:pos="1800"/>
        </w:tabs>
        <w:ind w:left="1800" w:hanging="360"/>
      </w:pPr>
      <w:rPr>
        <w:rFonts w:ascii="Arial" w:hAnsi="Arial" w:hint="default"/>
      </w:rPr>
    </w:lvl>
    <w:lvl w:ilvl="3" w:tplc="4C5A7C8A" w:tentative="1">
      <w:start w:val="1"/>
      <w:numFmt w:val="bullet"/>
      <w:lvlText w:val="•"/>
      <w:lvlJc w:val="left"/>
      <w:pPr>
        <w:tabs>
          <w:tab w:val="num" w:pos="2520"/>
        </w:tabs>
        <w:ind w:left="2520" w:hanging="360"/>
      </w:pPr>
      <w:rPr>
        <w:rFonts w:ascii="Arial" w:hAnsi="Arial" w:hint="default"/>
      </w:rPr>
    </w:lvl>
    <w:lvl w:ilvl="4" w:tplc="301C195A" w:tentative="1">
      <w:start w:val="1"/>
      <w:numFmt w:val="bullet"/>
      <w:lvlText w:val="•"/>
      <w:lvlJc w:val="left"/>
      <w:pPr>
        <w:tabs>
          <w:tab w:val="num" w:pos="3240"/>
        </w:tabs>
        <w:ind w:left="3240" w:hanging="360"/>
      </w:pPr>
      <w:rPr>
        <w:rFonts w:ascii="Arial" w:hAnsi="Arial" w:hint="default"/>
      </w:rPr>
    </w:lvl>
    <w:lvl w:ilvl="5" w:tplc="0DB2CBAA" w:tentative="1">
      <w:start w:val="1"/>
      <w:numFmt w:val="bullet"/>
      <w:lvlText w:val="•"/>
      <w:lvlJc w:val="left"/>
      <w:pPr>
        <w:tabs>
          <w:tab w:val="num" w:pos="3960"/>
        </w:tabs>
        <w:ind w:left="3960" w:hanging="360"/>
      </w:pPr>
      <w:rPr>
        <w:rFonts w:ascii="Arial" w:hAnsi="Arial" w:hint="default"/>
      </w:rPr>
    </w:lvl>
    <w:lvl w:ilvl="6" w:tplc="D2FC9C7E" w:tentative="1">
      <w:start w:val="1"/>
      <w:numFmt w:val="bullet"/>
      <w:lvlText w:val="•"/>
      <w:lvlJc w:val="left"/>
      <w:pPr>
        <w:tabs>
          <w:tab w:val="num" w:pos="4680"/>
        </w:tabs>
        <w:ind w:left="4680" w:hanging="360"/>
      </w:pPr>
      <w:rPr>
        <w:rFonts w:ascii="Arial" w:hAnsi="Arial" w:hint="default"/>
      </w:rPr>
    </w:lvl>
    <w:lvl w:ilvl="7" w:tplc="2466E386" w:tentative="1">
      <w:start w:val="1"/>
      <w:numFmt w:val="bullet"/>
      <w:lvlText w:val="•"/>
      <w:lvlJc w:val="left"/>
      <w:pPr>
        <w:tabs>
          <w:tab w:val="num" w:pos="5400"/>
        </w:tabs>
        <w:ind w:left="5400" w:hanging="360"/>
      </w:pPr>
      <w:rPr>
        <w:rFonts w:ascii="Arial" w:hAnsi="Arial" w:hint="default"/>
      </w:rPr>
    </w:lvl>
    <w:lvl w:ilvl="8" w:tplc="52388508"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7C"/>
    <w:rsid w:val="00344938"/>
    <w:rsid w:val="0036637C"/>
    <w:rsid w:val="004B39F2"/>
    <w:rsid w:val="00600F48"/>
    <w:rsid w:val="00676C5E"/>
    <w:rsid w:val="00680881"/>
    <w:rsid w:val="006B06A6"/>
    <w:rsid w:val="00736D87"/>
    <w:rsid w:val="009C53CE"/>
    <w:rsid w:val="00CF0B0A"/>
    <w:rsid w:val="00E61966"/>
    <w:rsid w:val="00F0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D33D"/>
  <w15:chartTrackingRefBased/>
  <w15:docId w15:val="{5FFF6039-519E-438F-BE5C-E8F36F5E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37C"/>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6637C"/>
    <w:pPr>
      <w:ind w:left="720"/>
      <w:contextualSpacing/>
    </w:pPr>
  </w:style>
  <w:style w:type="character" w:styleId="Lienhypertexte">
    <w:name w:val="Hyperlink"/>
    <w:basedOn w:val="Policepardfaut"/>
    <w:uiPriority w:val="99"/>
    <w:unhideWhenUsed/>
    <w:rsid w:val="0036637C"/>
    <w:rPr>
      <w:color w:val="0563C1" w:themeColor="hyperlink"/>
      <w:u w:val="single"/>
    </w:rPr>
  </w:style>
  <w:style w:type="character" w:customStyle="1" w:styleId="ParagraphedelisteCar">
    <w:name w:val="Paragraphe de liste Car"/>
    <w:basedOn w:val="Policepardfaut"/>
    <w:link w:val="Paragraphedeliste"/>
    <w:uiPriority w:val="34"/>
    <w:locked/>
    <w:rsid w:val="0036637C"/>
    <w:rPr>
      <w:lang w:val="fr-CA"/>
    </w:rPr>
  </w:style>
  <w:style w:type="paragraph" w:styleId="Retraitcorpsdetexte">
    <w:name w:val="Body Text Indent"/>
    <w:basedOn w:val="Normal"/>
    <w:link w:val="RetraitcorpsdetexteCar"/>
    <w:uiPriority w:val="99"/>
    <w:unhideWhenUsed/>
    <w:rsid w:val="0036637C"/>
    <w:pPr>
      <w:tabs>
        <w:tab w:val="right" w:pos="9923"/>
      </w:tabs>
      <w:spacing w:after="0" w:line="240" w:lineRule="auto"/>
      <w:ind w:left="360"/>
      <w:jc w:val="right"/>
    </w:pPr>
    <w:rPr>
      <w:rFonts w:ascii="Franklin Gothic Medium" w:hAnsi="Franklin Gothic Medium" w:cs="Arial"/>
      <w:b/>
      <w:bCs/>
      <w:color w:val="7B7B7B" w:themeColor="accent3" w:themeShade="BF"/>
      <w:sz w:val="40"/>
      <w:szCs w:val="32"/>
    </w:rPr>
  </w:style>
  <w:style w:type="character" w:customStyle="1" w:styleId="RetraitcorpsdetexteCar">
    <w:name w:val="Retrait corps de texte Car"/>
    <w:basedOn w:val="Policepardfaut"/>
    <w:link w:val="Retraitcorpsdetexte"/>
    <w:uiPriority w:val="99"/>
    <w:rsid w:val="0036637C"/>
    <w:rPr>
      <w:rFonts w:ascii="Franklin Gothic Medium" w:hAnsi="Franklin Gothic Medium" w:cs="Arial"/>
      <w:b/>
      <w:bCs/>
      <w:color w:val="7B7B7B" w:themeColor="accent3" w:themeShade="BF"/>
      <w:sz w:val="40"/>
      <w:szCs w:val="32"/>
      <w:lang w:val="fr-CA"/>
    </w:rPr>
  </w:style>
  <w:style w:type="paragraph" w:styleId="En-tte">
    <w:name w:val="header"/>
    <w:basedOn w:val="Normal"/>
    <w:link w:val="En-tteCar"/>
    <w:uiPriority w:val="99"/>
    <w:unhideWhenUsed/>
    <w:rsid w:val="0036637C"/>
    <w:pPr>
      <w:tabs>
        <w:tab w:val="center" w:pos="4320"/>
        <w:tab w:val="right" w:pos="8640"/>
      </w:tabs>
      <w:spacing w:after="0" w:line="240" w:lineRule="auto"/>
    </w:pPr>
    <w:rPr>
      <w:lang w:eastAsia="fr-CA"/>
    </w:rPr>
  </w:style>
  <w:style w:type="character" w:customStyle="1" w:styleId="En-tteCar">
    <w:name w:val="En-tête Car"/>
    <w:basedOn w:val="Policepardfaut"/>
    <w:link w:val="En-tte"/>
    <w:uiPriority w:val="99"/>
    <w:rsid w:val="0036637C"/>
    <w:rPr>
      <w:lang w:val="fr-CA" w:eastAsia="fr-CA"/>
    </w:rPr>
  </w:style>
  <w:style w:type="table" w:styleId="Grilledutableau">
    <w:name w:val="Table Grid"/>
    <w:basedOn w:val="TableauNormal"/>
    <w:uiPriority w:val="39"/>
    <w:rsid w:val="0036637C"/>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36637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6637C"/>
    <w:rPr>
      <w:lang w:val="fr-CA"/>
    </w:rPr>
  </w:style>
  <w:style w:type="character" w:styleId="Accentuation">
    <w:name w:val="Emphasis"/>
    <w:basedOn w:val="Policepardfaut"/>
    <w:uiPriority w:val="20"/>
    <w:qFormat/>
    <w:rsid w:val="00E619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2.publicationsduquebec.gouv.qc.ca/dynamicSearch/telecharge.php?type=2&amp;file=/C_12/C12.HTM" TargetMode="External"/><Relationship Id="rId12" Type="http://schemas.openxmlformats.org/officeDocument/2006/relationships/hyperlink" Target="http://www.gaphrs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ations.msss.gouv.qc.ca/msss/fichiers/2017/17-824-04W_accessibl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ublications.msss.gouv.qc.ca/msss/document-001084/" TargetMode="External"/><Relationship Id="rId4" Type="http://schemas.openxmlformats.org/officeDocument/2006/relationships/webSettings" Target="webSettings.xml"/><Relationship Id="rId9" Type="http://schemas.openxmlformats.org/officeDocument/2006/relationships/hyperlink" Target="http://legisquebec.gouv.qc.ca/fr/ShowDoc/cs/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890</Words>
  <Characters>4899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4</cp:revision>
  <dcterms:created xsi:type="dcterms:W3CDTF">2019-02-27T16:31:00Z</dcterms:created>
  <dcterms:modified xsi:type="dcterms:W3CDTF">2019-03-05T15:37:00Z</dcterms:modified>
</cp:coreProperties>
</file>