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4616" w14:textId="41A29DE2" w:rsidR="00057CF6" w:rsidRPr="00617FC6" w:rsidRDefault="00057CF6" w:rsidP="00617FC6">
      <w:pPr>
        <w:pStyle w:val="Contact"/>
        <w:rPr>
          <w:b/>
          <w:iCs/>
          <w:sz w:val="44"/>
          <w:szCs w:val="44"/>
        </w:rPr>
      </w:pPr>
      <w:r w:rsidRPr="00617FC6">
        <w:rPr>
          <w:i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FC9F51A" wp14:editId="3D438F21">
            <wp:simplePos x="0" y="0"/>
            <wp:positionH relativeFrom="leftMargin">
              <wp:posOffset>117475</wp:posOffset>
            </wp:positionH>
            <wp:positionV relativeFrom="paragraph">
              <wp:posOffset>-861060</wp:posOffset>
            </wp:positionV>
            <wp:extent cx="1051560" cy="1974752"/>
            <wp:effectExtent l="0" t="0" r="0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nail_20210924_1741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97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FC6">
        <w:rPr>
          <w:b/>
          <w:iCs/>
          <w:sz w:val="44"/>
          <w:szCs w:val="44"/>
        </w:rPr>
        <w:t>Trouble développemental du langage (dysphasie)</w:t>
      </w:r>
    </w:p>
    <w:p w14:paraId="45947CC1" w14:textId="15F75A84" w:rsidR="00057CF6" w:rsidRPr="00057CF6" w:rsidRDefault="00057CF6" w:rsidP="00617FC6">
      <w:pPr>
        <w:pStyle w:val="Contact"/>
        <w:ind w:left="324"/>
        <w:jc w:val="both"/>
        <w:rPr>
          <w:i/>
          <w:sz w:val="44"/>
          <w:szCs w:val="44"/>
        </w:rPr>
      </w:pPr>
    </w:p>
    <w:p w14:paraId="14BC7364" w14:textId="4D583692" w:rsidR="00057CF6" w:rsidRPr="00617FC6" w:rsidRDefault="00617FC6" w:rsidP="00617FC6">
      <w:pPr>
        <w:pStyle w:val="Contact"/>
        <w:rPr>
          <w:bCs/>
          <w:iCs/>
          <w:sz w:val="28"/>
          <w:szCs w:val="28"/>
        </w:rPr>
      </w:pPr>
      <w:r w:rsidRPr="00057CF6"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0CA3241" wp14:editId="6E8FDF48">
                <wp:simplePos x="0" y="0"/>
                <wp:positionH relativeFrom="leftMargin">
                  <wp:posOffset>83820</wp:posOffset>
                </wp:positionH>
                <wp:positionV relativeFrom="paragraph">
                  <wp:posOffset>310515</wp:posOffset>
                </wp:positionV>
                <wp:extent cx="1127760" cy="952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B74E4" w14:textId="77777777" w:rsidR="00057CF6" w:rsidRP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57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Par Maryse Boudreau</w:t>
                            </w:r>
                          </w:p>
                          <w:p w14:paraId="478007C6" w14:textId="77777777" w:rsid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57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Directrice</w:t>
                            </w:r>
                          </w:p>
                          <w:p w14:paraId="15B71292" w14:textId="77777777" w:rsidR="00057CF6" w:rsidRP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884FA75" wp14:editId="208959CF">
                                  <wp:extent cx="928370" cy="297180"/>
                                  <wp:effectExtent l="0" t="0" r="5080" b="762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humbnail_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837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502423" w14:textId="77777777" w:rsid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57CF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450-635-1961</w:t>
                            </w:r>
                          </w:p>
                          <w:p w14:paraId="3C8715ED" w14:textId="77777777" w:rsidR="00057CF6" w:rsidRP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560FC51" w14:textId="77777777" w:rsidR="00057CF6" w:rsidRDefault="00057CF6">
                            <w:pPr>
                              <w:pBdr>
                                <w:top w:val="single" w:sz="24" w:space="8" w:color="0F6FC6" w:themeColor="accent1"/>
                                <w:bottom w:val="single" w:sz="24" w:space="8" w:color="0F6FC6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0F6FC6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A32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6pt;margin-top:24.45pt;width:88.8pt;height:7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" filled="f" stroked="f">
                <v:textbox>
                  <w:txbxContent>
                    <w:p w14:paraId="19BB74E4" w14:textId="77777777" w:rsidR="00057CF6" w:rsidRP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057CF6">
                        <w:rPr>
                          <w:i/>
                          <w:iCs/>
                          <w:sz w:val="16"/>
                          <w:szCs w:val="16"/>
                        </w:rPr>
                        <w:t>Par Maryse Boudreau</w:t>
                      </w:r>
                    </w:p>
                    <w:p w14:paraId="478007C6" w14:textId="77777777" w:rsid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057CF6">
                        <w:rPr>
                          <w:i/>
                          <w:iCs/>
                          <w:sz w:val="16"/>
                          <w:szCs w:val="16"/>
                        </w:rPr>
                        <w:t>Directrice</w:t>
                      </w:r>
                    </w:p>
                    <w:p w14:paraId="15B71292" w14:textId="77777777" w:rsidR="00057CF6" w:rsidRP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884FA75" wp14:editId="208959CF">
                            <wp:extent cx="928370" cy="297180"/>
                            <wp:effectExtent l="0" t="0" r="5080" b="762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humbnail_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8370" cy="29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502423" w14:textId="77777777" w:rsid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057CF6">
                        <w:rPr>
                          <w:i/>
                          <w:iCs/>
                          <w:sz w:val="16"/>
                          <w:szCs w:val="16"/>
                        </w:rPr>
                        <w:t>450-635-1961</w:t>
                      </w:r>
                    </w:p>
                    <w:p w14:paraId="3C8715ED" w14:textId="77777777" w:rsidR="00057CF6" w:rsidRP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560FC51" w14:textId="77777777" w:rsidR="00057CF6" w:rsidRDefault="00057CF6">
                      <w:pPr>
                        <w:pBdr>
                          <w:top w:val="single" w:sz="24" w:space="8" w:color="0F6FC6" w:themeColor="accent1"/>
                          <w:bottom w:val="single" w:sz="24" w:space="8" w:color="0F6FC6" w:themeColor="accent1"/>
                        </w:pBdr>
                        <w:spacing w:after="0"/>
                        <w:rPr>
                          <w:i/>
                          <w:iCs/>
                          <w:color w:val="0F6FC6" w:themeColor="accen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CF6" w:rsidRPr="00617FC6">
        <w:rPr>
          <w:bCs/>
          <w:iCs/>
          <w:sz w:val="28"/>
          <w:szCs w:val="28"/>
        </w:rPr>
        <w:t>Retard ou trouble ?</w:t>
      </w:r>
    </w:p>
    <w:p w14:paraId="1CA36D24" w14:textId="77777777" w:rsidR="00057CF6" w:rsidRPr="00617FC6" w:rsidRDefault="00057CF6" w:rsidP="00617FC6">
      <w:pPr>
        <w:spacing w:after="0" w:line="240" w:lineRule="auto"/>
        <w:ind w:firstLine="708"/>
        <w:rPr>
          <w:bCs/>
          <w:iCs/>
          <w:lang w:val="fr-FR"/>
        </w:rPr>
      </w:pPr>
    </w:p>
    <w:p w14:paraId="449EBF31" w14:textId="4782619A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Distinguer le retard du trouble développemental du langage (dysphasie) n’est pas toujours chose facile. Toutefois, le tableau ci-bas permet de mieux comprendre la distinction entre ces deux problématiques qui peuvent être identifiées chez les enfants.</w:t>
      </w:r>
    </w:p>
    <w:p w14:paraId="3C557EC6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19198EB9" w14:textId="36ED4E04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 trouble développemental du langage (dysphasie) est un trouble primaire du langage, dans la sphère expressive ou expressive et réceptive.</w:t>
      </w:r>
    </w:p>
    <w:p w14:paraId="48D6D25C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04851378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17FC6">
        <w:rPr>
          <w:rFonts w:ascii="Arial" w:hAnsi="Arial" w:cs="Arial"/>
          <w:bCs/>
          <w:iCs/>
          <w:sz w:val="24"/>
          <w:szCs w:val="24"/>
        </w:rPr>
        <w:t>Retard langagier :</w:t>
      </w:r>
    </w:p>
    <w:p w14:paraId="0048A848" w14:textId="43A698F9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</w:t>
      </w:r>
      <w:r w:rsidR="00617FC6"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Les manifestations touchent habituellement les différentes sphères langagières à un même niveau.</w:t>
      </w:r>
    </w:p>
    <w:p w14:paraId="7E6C82C8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 Il y a peu ou pas d’écart entre le niveau de compréhension et d’expression.</w:t>
      </w:r>
    </w:p>
    <w:p w14:paraId="23E22E71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 Les difficultés se résorbent normalement vers l’âge de 5 ans.</w:t>
      </w:r>
    </w:p>
    <w:p w14:paraId="371C699C" w14:textId="7450E444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Il y aura normalement de rapides progrès grâce à la stimulation langagière.</w:t>
      </w:r>
    </w:p>
    <w:p w14:paraId="5E520487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580C673A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Trouble langagier (TDL)</w:t>
      </w:r>
    </w:p>
    <w:p w14:paraId="6EE108F0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 Les manifestations vont possiblement toucher davantage une ou plusieurs sphères langagières.</w:t>
      </w:r>
    </w:p>
    <w:p w14:paraId="4A20DC78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 Un écart entre le niveau de compréhension et d’expression peut suggérer un trouble langagier.</w:t>
      </w:r>
    </w:p>
    <w:p w14:paraId="69B6B60B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* Les difficultés vont persister au-delà de l’âge   de 5 ans</w:t>
      </w:r>
    </w:p>
    <w:p w14:paraId="2172A4A8" w14:textId="0B84AAC1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Progrès lents malgré une stimulation langagière continue (environ 6 mois)</w:t>
      </w:r>
    </w:p>
    <w:p w14:paraId="7B975D51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462380A5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Les sphères langagières :</w:t>
      </w:r>
    </w:p>
    <w:p w14:paraId="5B0B1BF2" w14:textId="78E3D6E5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Les sphères langagières brièvement décrites plus bas peuvent être atteintes à différents degrés chez les enfants présentant un retard ou un trouble développemental du langage.</w:t>
      </w:r>
    </w:p>
    <w:p w14:paraId="57B813BD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543C033B" w14:textId="4BDA1FF0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La forme : Comment les sons sont prononcés et comment les phrases sont construites.</w:t>
      </w:r>
    </w:p>
    <w:p w14:paraId="0A0811B5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1D54D2FD" w14:textId="729C0639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 contenu : Le vocabulaire compris et exprimé par l’enfant et comment celui-ci parvient à y accéder, le sens transmis par le langage (ex : la possession, la négation)</w:t>
      </w:r>
    </w:p>
    <w:p w14:paraId="66A79EC2" w14:textId="77777777" w:rsidR="00617FC6" w:rsidRPr="00617FC6" w:rsidRDefault="00617FC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5A2F049B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17FC6">
        <w:rPr>
          <w:rFonts w:ascii="Arial" w:hAnsi="Arial" w:cs="Arial"/>
          <w:bCs/>
          <w:iCs/>
          <w:sz w:val="24"/>
          <w:szCs w:val="24"/>
        </w:rPr>
        <w:t xml:space="preserve">L’utilisation : </w:t>
      </w:r>
      <w:r w:rsidRPr="00617FC6">
        <w:rPr>
          <w:rFonts w:ascii="Arial" w:hAnsi="Arial" w:cs="Arial"/>
          <w:bCs/>
          <w:iCs/>
          <w:color w:val="000000" w:themeColor="text1"/>
          <w:sz w:val="24"/>
          <w:szCs w:val="24"/>
        </w:rPr>
        <w:t>Les buts de la communication (ex : poser une question, faire un commentaire), comment l’enfant s’adapte à son interlocuteur et à la situation.</w:t>
      </w:r>
    </w:p>
    <w:p w14:paraId="58D0A033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457B26AE" w14:textId="13159993" w:rsidR="00617FC6" w:rsidRPr="00617FC6" w:rsidRDefault="00057CF6" w:rsidP="00617FC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fr-FR"/>
        </w:rPr>
      </w:pPr>
      <w:r w:rsidRPr="00617FC6">
        <w:rPr>
          <w:rFonts w:ascii="Arial" w:hAnsi="Arial" w:cs="Arial"/>
          <w:bCs/>
          <w:iCs/>
          <w:sz w:val="24"/>
          <w:szCs w:val="24"/>
          <w:lang w:val="fr-FR"/>
        </w:rPr>
        <w:t xml:space="preserve">Demeurez à l’affût du développement langagier de votre enfant. Puisqu’il est essentiel d’intervenir le plus tôt possible </w:t>
      </w:r>
      <w:proofErr w:type="gramStart"/>
      <w:r w:rsidRPr="00617FC6">
        <w:rPr>
          <w:rFonts w:ascii="Arial" w:hAnsi="Arial" w:cs="Arial"/>
          <w:bCs/>
          <w:iCs/>
          <w:sz w:val="24"/>
          <w:szCs w:val="24"/>
          <w:lang w:val="fr-FR"/>
        </w:rPr>
        <w:t>lorsqu’un enfant présente</w:t>
      </w:r>
      <w:proofErr w:type="gramEnd"/>
      <w:r w:rsidRPr="00617FC6">
        <w:rPr>
          <w:rFonts w:ascii="Arial" w:hAnsi="Arial" w:cs="Arial"/>
          <w:bCs/>
          <w:iCs/>
          <w:sz w:val="24"/>
          <w:szCs w:val="24"/>
          <w:lang w:val="fr-FR"/>
        </w:rPr>
        <w:t xml:space="preserve"> des difficultés langagières.</w:t>
      </w:r>
    </w:p>
    <w:p w14:paraId="1EB8479D" w14:textId="50F44154" w:rsidR="00057CF6" w:rsidRPr="00617FC6" w:rsidRDefault="00057CF6" w:rsidP="00617FC6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17FC6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4218F1" wp14:editId="33C3C5B8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3638550" cy="88201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umbnail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0256F" w14:textId="77777777" w:rsidR="00057CF6" w:rsidRPr="00617FC6" w:rsidRDefault="00057CF6" w:rsidP="00617FC6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sectPr w:rsidR="00057CF6" w:rsidRPr="00617FC6" w:rsidSect="00617FC6">
      <w:pgSz w:w="12240" w:h="15840"/>
      <w:pgMar w:top="1440" w:right="907" w:bottom="1440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241A" w14:textId="77777777" w:rsidR="00FD0965" w:rsidRDefault="00FD0965" w:rsidP="00057CF6">
      <w:pPr>
        <w:spacing w:after="0" w:line="240" w:lineRule="auto"/>
      </w:pPr>
      <w:r>
        <w:separator/>
      </w:r>
    </w:p>
  </w:endnote>
  <w:endnote w:type="continuationSeparator" w:id="0">
    <w:p w14:paraId="1983E738" w14:textId="77777777" w:rsidR="00FD0965" w:rsidRDefault="00FD0965" w:rsidP="0005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95DB" w14:textId="77777777" w:rsidR="00FD0965" w:rsidRDefault="00FD0965" w:rsidP="00057CF6">
      <w:pPr>
        <w:spacing w:after="0" w:line="240" w:lineRule="auto"/>
      </w:pPr>
      <w:r>
        <w:separator/>
      </w:r>
    </w:p>
  </w:footnote>
  <w:footnote w:type="continuationSeparator" w:id="0">
    <w:p w14:paraId="43E2D730" w14:textId="77777777" w:rsidR="00FD0965" w:rsidRDefault="00FD0965" w:rsidP="00057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F6"/>
    <w:rsid w:val="00057CF6"/>
    <w:rsid w:val="004956F5"/>
    <w:rsid w:val="00617FC6"/>
    <w:rsid w:val="009C4E74"/>
    <w:rsid w:val="00D4362C"/>
    <w:rsid w:val="00E44A88"/>
    <w:rsid w:val="00F62F7E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B5EC"/>
  <w15:chartTrackingRefBased/>
  <w15:docId w15:val="{5487C259-ED93-416A-A0F6-920764C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act">
    <w:name w:val="Contact"/>
    <w:basedOn w:val="Normal"/>
    <w:link w:val="Caractredecontact"/>
    <w:uiPriority w:val="1"/>
    <w:qFormat/>
    <w:rsid w:val="00057CF6"/>
    <w:pPr>
      <w:spacing w:after="0" w:line="240" w:lineRule="auto"/>
    </w:pPr>
    <w:rPr>
      <w:rFonts w:ascii="Calibri" w:eastAsiaTheme="minorEastAsia" w:hAnsi="Calibri" w:cs="Calibri"/>
      <w:lang w:val="fr-FR"/>
    </w:rPr>
  </w:style>
  <w:style w:type="character" w:customStyle="1" w:styleId="Caractredecontact">
    <w:name w:val="Caractère de contact"/>
    <w:basedOn w:val="Policepardfaut"/>
    <w:link w:val="Contact"/>
    <w:uiPriority w:val="1"/>
    <w:rsid w:val="00057CF6"/>
    <w:rPr>
      <w:rFonts w:ascii="Calibri" w:eastAsiaTheme="minorEastAsia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57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CF6"/>
  </w:style>
  <w:style w:type="paragraph" w:styleId="Pieddepage">
    <w:name w:val="footer"/>
    <w:basedOn w:val="Normal"/>
    <w:link w:val="PieddepageCar"/>
    <w:uiPriority w:val="99"/>
    <w:unhideWhenUsed/>
    <w:rsid w:val="00057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43D60414AB4BAA2782FEF59E22A2" ma:contentTypeVersion="14" ma:contentTypeDescription="Crée un document." ma:contentTypeScope="" ma:versionID="999b073866bd3f4e9a0fe418f89cca45">
  <xsd:schema xmlns:xsd="http://www.w3.org/2001/XMLSchema" xmlns:xs="http://www.w3.org/2001/XMLSchema" xmlns:p="http://schemas.microsoft.com/office/2006/metadata/properties" xmlns:ns2="a6e6e6f9-c160-4f87-9ab8-337fad9fdabf" xmlns:ns3="9bcae570-5884-4e87-9868-adffb19b4df7" targetNamespace="http://schemas.microsoft.com/office/2006/metadata/properties" ma:root="true" ma:fieldsID="933adb3b91c74a76376860516b63164a" ns2:_="" ns3:_="">
    <xsd:import namespace="a6e6e6f9-c160-4f87-9ab8-337fad9fdabf"/>
    <xsd:import namespace="9bcae570-5884-4e87-9868-adffb19b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e6f9-c160-4f87-9ab8-337fad9fd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f31348d-aa8a-4634-9fea-05b1674af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ae570-5884-4e87-9868-adffb19b4d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5c8655-ca10-440d-9cdf-35769d0407fa}" ma:internalName="TaxCatchAll" ma:showField="CatchAllData" ma:web="9bcae570-5884-4e87-9868-adffb19b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18035-7656-418B-B7F2-509AC6FEC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03141-8502-4BB9-AD30-D41E95237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e6f9-c160-4f87-9ab8-337fad9fdabf"/>
    <ds:schemaRef ds:uri="9bcae570-5884-4e87-9868-adffb19b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AQDM</dc:creator>
  <cp:keywords/>
  <dc:description/>
  <cp:lastModifiedBy>Carole Labonté</cp:lastModifiedBy>
  <cp:revision>5</cp:revision>
  <dcterms:created xsi:type="dcterms:W3CDTF">2022-05-17T21:57:00Z</dcterms:created>
  <dcterms:modified xsi:type="dcterms:W3CDTF">2022-10-15T17:48:00Z</dcterms:modified>
</cp:coreProperties>
</file>